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0B5" w:rsidRPr="00505303" w:rsidRDefault="00505303" w:rsidP="00505303">
      <w:pPr>
        <w:spacing w:after="0" w:line="240" w:lineRule="auto"/>
        <w:jc w:val="center"/>
        <w:rPr>
          <w:b/>
          <w:sz w:val="28"/>
          <w:szCs w:val="28"/>
        </w:rPr>
      </w:pPr>
      <w:bookmarkStart w:id="0" w:name="_GoBack"/>
      <w:bookmarkEnd w:id="0"/>
      <w:r>
        <w:rPr>
          <w:b/>
          <w:noProof/>
          <w:sz w:val="28"/>
          <w:szCs w:val="28"/>
        </w:rPr>
        <w:drawing>
          <wp:anchor distT="0" distB="0" distL="114300" distR="114300" simplePos="0" relativeHeight="251659264" behindDoc="0" locked="0" layoutInCell="1" allowOverlap="1" wp14:anchorId="4891C5D0" wp14:editId="1B5EA012">
            <wp:simplePos x="0" y="0"/>
            <wp:positionH relativeFrom="column">
              <wp:posOffset>4968687</wp:posOffset>
            </wp:positionH>
            <wp:positionV relativeFrom="paragraph">
              <wp:posOffset>-38100</wp:posOffset>
            </wp:positionV>
            <wp:extent cx="743585" cy="8655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3585" cy="865505"/>
                    </a:xfrm>
                    <a:prstGeom prst="rect">
                      <a:avLst/>
                    </a:prstGeom>
                    <a:noFill/>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58240" behindDoc="0" locked="0" layoutInCell="1" allowOverlap="1" wp14:anchorId="12BE189C" wp14:editId="21C2C87A">
            <wp:simplePos x="0" y="0"/>
            <wp:positionH relativeFrom="column">
              <wp:posOffset>297180</wp:posOffset>
            </wp:positionH>
            <wp:positionV relativeFrom="paragraph">
              <wp:posOffset>-35560</wp:posOffset>
            </wp:positionV>
            <wp:extent cx="746760" cy="8661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6760" cy="866155"/>
                    </a:xfrm>
                    <a:prstGeom prst="rect">
                      <a:avLst/>
                    </a:prstGeom>
                  </pic:spPr>
                </pic:pic>
              </a:graphicData>
            </a:graphic>
            <wp14:sizeRelH relativeFrom="page">
              <wp14:pctWidth>0</wp14:pctWidth>
            </wp14:sizeRelH>
            <wp14:sizeRelV relativeFrom="page">
              <wp14:pctHeight>0</wp14:pctHeight>
            </wp14:sizeRelV>
          </wp:anchor>
        </w:drawing>
      </w:r>
      <w:r w:rsidRPr="00505303">
        <w:rPr>
          <w:b/>
          <w:sz w:val="28"/>
          <w:szCs w:val="28"/>
        </w:rPr>
        <w:t>WASHINGTON FINANCIAL AID ASSOCIATION</w:t>
      </w:r>
    </w:p>
    <w:p w:rsidR="00505303" w:rsidRDefault="00A555AB" w:rsidP="00505303">
      <w:pPr>
        <w:spacing w:after="0" w:line="240" w:lineRule="auto"/>
        <w:jc w:val="center"/>
        <w:rPr>
          <w:b/>
          <w:sz w:val="28"/>
          <w:szCs w:val="28"/>
        </w:rPr>
      </w:pPr>
      <w:r>
        <w:rPr>
          <w:b/>
          <w:sz w:val="28"/>
          <w:szCs w:val="28"/>
        </w:rPr>
        <w:t>2019-2020</w:t>
      </w:r>
      <w:r w:rsidR="00505303" w:rsidRPr="00505303">
        <w:rPr>
          <w:b/>
          <w:sz w:val="28"/>
          <w:szCs w:val="28"/>
        </w:rPr>
        <w:t xml:space="preserve"> STUDENT BUDGETS</w:t>
      </w:r>
    </w:p>
    <w:p w:rsidR="00505303" w:rsidRDefault="00505303" w:rsidP="00505303">
      <w:pPr>
        <w:spacing w:after="0" w:line="240" w:lineRule="auto"/>
        <w:jc w:val="center"/>
        <w:rPr>
          <w:b/>
          <w:sz w:val="28"/>
          <w:szCs w:val="28"/>
        </w:rPr>
      </w:pPr>
    </w:p>
    <w:p w:rsidR="00505303" w:rsidRPr="00505303" w:rsidRDefault="00505303" w:rsidP="00505303">
      <w:pPr>
        <w:spacing w:after="0" w:line="240" w:lineRule="auto"/>
        <w:jc w:val="center"/>
      </w:pPr>
      <w:r w:rsidRPr="00505303">
        <w:t>Proposed to WFAA Executive Committee and membership</w:t>
      </w:r>
    </w:p>
    <w:p w:rsidR="00505303" w:rsidRPr="00505303" w:rsidRDefault="00A555AB" w:rsidP="00505303">
      <w:pPr>
        <w:spacing w:after="0" w:line="240" w:lineRule="auto"/>
        <w:jc w:val="center"/>
      </w:pPr>
      <w:r>
        <w:t>October 2018</w:t>
      </w:r>
    </w:p>
    <w:p w:rsidR="00505303" w:rsidRDefault="00505303" w:rsidP="00505303">
      <w:pPr>
        <w:jc w:val="center"/>
      </w:pPr>
    </w:p>
    <w:tbl>
      <w:tblPr>
        <w:tblStyle w:val="TableGrid"/>
        <w:tblW w:w="0" w:type="auto"/>
        <w:tblLook w:val="04A0" w:firstRow="1" w:lastRow="0" w:firstColumn="1" w:lastColumn="0" w:noHBand="0" w:noVBand="1"/>
      </w:tblPr>
      <w:tblGrid>
        <w:gridCol w:w="1892"/>
        <w:gridCol w:w="1872"/>
        <w:gridCol w:w="1882"/>
        <w:gridCol w:w="1850"/>
        <w:gridCol w:w="1854"/>
      </w:tblGrid>
      <w:tr w:rsidR="00505303" w:rsidTr="00505303">
        <w:trPr>
          <w:trHeight w:val="791"/>
        </w:trPr>
        <w:tc>
          <w:tcPr>
            <w:tcW w:w="1915" w:type="dxa"/>
            <w:shd w:val="clear" w:color="auto" w:fill="008000"/>
          </w:tcPr>
          <w:p w:rsidR="00505303" w:rsidRDefault="00505303" w:rsidP="00505303">
            <w:pPr>
              <w:jc w:val="center"/>
            </w:pPr>
          </w:p>
        </w:tc>
        <w:tc>
          <w:tcPr>
            <w:tcW w:w="1915" w:type="dxa"/>
            <w:shd w:val="clear" w:color="auto" w:fill="008000"/>
          </w:tcPr>
          <w:p w:rsidR="00505303" w:rsidRPr="00505303" w:rsidRDefault="00505303" w:rsidP="00505303">
            <w:pPr>
              <w:jc w:val="center"/>
              <w:rPr>
                <w:color w:val="FFFFFF" w:themeColor="background1"/>
              </w:rPr>
            </w:pPr>
            <w:r w:rsidRPr="00505303">
              <w:rPr>
                <w:color w:val="FFFFFF" w:themeColor="background1"/>
              </w:rPr>
              <w:t>Dependent, living with parent</w:t>
            </w:r>
          </w:p>
        </w:tc>
        <w:tc>
          <w:tcPr>
            <w:tcW w:w="1915" w:type="dxa"/>
            <w:shd w:val="clear" w:color="auto" w:fill="008000"/>
          </w:tcPr>
          <w:p w:rsidR="00505303" w:rsidRPr="00505303" w:rsidRDefault="00505303" w:rsidP="00505303">
            <w:pPr>
              <w:jc w:val="center"/>
              <w:rPr>
                <w:color w:val="FFFFFF" w:themeColor="background1"/>
              </w:rPr>
            </w:pPr>
            <w:r w:rsidRPr="00505303">
              <w:rPr>
                <w:color w:val="FFFFFF" w:themeColor="background1"/>
              </w:rPr>
              <w:t>Independent, living with parent</w:t>
            </w:r>
          </w:p>
        </w:tc>
        <w:tc>
          <w:tcPr>
            <w:tcW w:w="1915" w:type="dxa"/>
            <w:shd w:val="clear" w:color="auto" w:fill="008000"/>
          </w:tcPr>
          <w:p w:rsidR="00505303" w:rsidRPr="00505303" w:rsidRDefault="00505303" w:rsidP="00505303">
            <w:pPr>
              <w:jc w:val="center"/>
              <w:rPr>
                <w:color w:val="FFFFFF" w:themeColor="background1"/>
              </w:rPr>
            </w:pPr>
            <w:r w:rsidRPr="00505303">
              <w:rPr>
                <w:color w:val="FFFFFF" w:themeColor="background1"/>
              </w:rPr>
              <w:t>Not living with parent</w:t>
            </w:r>
          </w:p>
        </w:tc>
        <w:tc>
          <w:tcPr>
            <w:tcW w:w="1916" w:type="dxa"/>
            <w:shd w:val="clear" w:color="auto" w:fill="008000"/>
          </w:tcPr>
          <w:p w:rsidR="00505303" w:rsidRPr="00505303" w:rsidRDefault="00505303" w:rsidP="00505303">
            <w:pPr>
              <w:jc w:val="center"/>
              <w:rPr>
                <w:color w:val="FFFFFF" w:themeColor="background1"/>
              </w:rPr>
            </w:pPr>
            <w:r w:rsidRPr="00505303">
              <w:rPr>
                <w:color w:val="FFFFFF" w:themeColor="background1"/>
              </w:rPr>
              <w:t>High-cost regions*</w:t>
            </w:r>
          </w:p>
        </w:tc>
      </w:tr>
      <w:tr w:rsidR="00505303" w:rsidTr="00505303">
        <w:tc>
          <w:tcPr>
            <w:tcW w:w="1915" w:type="dxa"/>
            <w:shd w:val="clear" w:color="auto" w:fill="008000"/>
          </w:tcPr>
          <w:p w:rsidR="00505303" w:rsidRPr="00505303" w:rsidRDefault="00505303" w:rsidP="00505303">
            <w:pPr>
              <w:jc w:val="right"/>
              <w:rPr>
                <w:color w:val="FFFFFF" w:themeColor="background1"/>
              </w:rPr>
            </w:pPr>
            <w:r w:rsidRPr="00505303">
              <w:rPr>
                <w:color w:val="FFFFFF" w:themeColor="background1"/>
              </w:rPr>
              <w:t>Tuition &amp; Fees</w:t>
            </w:r>
          </w:p>
        </w:tc>
        <w:tc>
          <w:tcPr>
            <w:tcW w:w="1915" w:type="dxa"/>
          </w:tcPr>
          <w:p w:rsidR="00505303" w:rsidRPr="00505303" w:rsidRDefault="00505303" w:rsidP="00505303">
            <w:pPr>
              <w:jc w:val="center"/>
            </w:pPr>
          </w:p>
        </w:tc>
        <w:tc>
          <w:tcPr>
            <w:tcW w:w="1915" w:type="dxa"/>
          </w:tcPr>
          <w:p w:rsidR="00505303" w:rsidRPr="00505303" w:rsidRDefault="00505303" w:rsidP="00505303">
            <w:pPr>
              <w:jc w:val="center"/>
            </w:pPr>
          </w:p>
        </w:tc>
        <w:tc>
          <w:tcPr>
            <w:tcW w:w="1915" w:type="dxa"/>
          </w:tcPr>
          <w:p w:rsidR="00505303" w:rsidRPr="00505303" w:rsidRDefault="00505303" w:rsidP="00505303">
            <w:pPr>
              <w:jc w:val="center"/>
            </w:pPr>
          </w:p>
        </w:tc>
        <w:tc>
          <w:tcPr>
            <w:tcW w:w="1916" w:type="dxa"/>
          </w:tcPr>
          <w:p w:rsidR="00505303" w:rsidRPr="00505303" w:rsidRDefault="00505303" w:rsidP="00505303">
            <w:pPr>
              <w:jc w:val="center"/>
            </w:pPr>
          </w:p>
        </w:tc>
      </w:tr>
      <w:tr w:rsidR="00505303" w:rsidTr="00505303">
        <w:tc>
          <w:tcPr>
            <w:tcW w:w="1915" w:type="dxa"/>
            <w:shd w:val="clear" w:color="auto" w:fill="008000"/>
          </w:tcPr>
          <w:p w:rsidR="00505303" w:rsidRPr="00505303" w:rsidRDefault="00505303" w:rsidP="00505303">
            <w:pPr>
              <w:jc w:val="right"/>
              <w:rPr>
                <w:color w:val="FFFFFF" w:themeColor="background1"/>
              </w:rPr>
            </w:pPr>
            <w:r w:rsidRPr="00505303">
              <w:rPr>
                <w:color w:val="FFFFFF" w:themeColor="background1"/>
              </w:rPr>
              <w:t>Books &amp; Supplies</w:t>
            </w:r>
          </w:p>
        </w:tc>
        <w:tc>
          <w:tcPr>
            <w:tcW w:w="1915" w:type="dxa"/>
          </w:tcPr>
          <w:p w:rsidR="00505303" w:rsidRPr="0094234B" w:rsidRDefault="00316CE3" w:rsidP="00A555AB">
            <w:pPr>
              <w:jc w:val="center"/>
              <w:rPr>
                <w:b/>
              </w:rPr>
            </w:pPr>
            <w:r>
              <w:rPr>
                <w:b/>
              </w:rPr>
              <w:t>$</w:t>
            </w:r>
            <w:r w:rsidR="00A555AB">
              <w:rPr>
                <w:b/>
              </w:rPr>
              <w:t>900</w:t>
            </w:r>
          </w:p>
        </w:tc>
        <w:tc>
          <w:tcPr>
            <w:tcW w:w="1915" w:type="dxa"/>
          </w:tcPr>
          <w:p w:rsidR="00505303" w:rsidRPr="0094234B" w:rsidRDefault="00A555AB" w:rsidP="00505303">
            <w:pPr>
              <w:jc w:val="center"/>
              <w:rPr>
                <w:b/>
              </w:rPr>
            </w:pPr>
            <w:r>
              <w:rPr>
                <w:b/>
              </w:rPr>
              <w:t>$900</w:t>
            </w:r>
          </w:p>
        </w:tc>
        <w:tc>
          <w:tcPr>
            <w:tcW w:w="1915" w:type="dxa"/>
          </w:tcPr>
          <w:p w:rsidR="00505303" w:rsidRPr="0094234B" w:rsidRDefault="00A555AB" w:rsidP="0094234B">
            <w:pPr>
              <w:jc w:val="center"/>
              <w:rPr>
                <w:b/>
              </w:rPr>
            </w:pPr>
            <w:r>
              <w:rPr>
                <w:b/>
              </w:rPr>
              <w:t>$900</w:t>
            </w:r>
          </w:p>
        </w:tc>
        <w:tc>
          <w:tcPr>
            <w:tcW w:w="1916" w:type="dxa"/>
          </w:tcPr>
          <w:p w:rsidR="00505303" w:rsidRPr="0094234B" w:rsidRDefault="00A555AB" w:rsidP="00505303">
            <w:pPr>
              <w:jc w:val="center"/>
              <w:rPr>
                <w:b/>
              </w:rPr>
            </w:pPr>
            <w:r>
              <w:rPr>
                <w:b/>
              </w:rPr>
              <w:t>$900</w:t>
            </w:r>
          </w:p>
        </w:tc>
      </w:tr>
      <w:tr w:rsidR="00505303" w:rsidTr="00505303">
        <w:tc>
          <w:tcPr>
            <w:tcW w:w="1915" w:type="dxa"/>
            <w:shd w:val="clear" w:color="auto" w:fill="008000"/>
          </w:tcPr>
          <w:p w:rsidR="00505303" w:rsidRPr="00505303" w:rsidRDefault="00505303" w:rsidP="00505303">
            <w:pPr>
              <w:jc w:val="right"/>
              <w:rPr>
                <w:color w:val="FFFFFF" w:themeColor="background1"/>
              </w:rPr>
            </w:pPr>
            <w:r w:rsidRPr="00505303">
              <w:rPr>
                <w:color w:val="FFFFFF" w:themeColor="background1"/>
              </w:rPr>
              <w:t>Room &amp; Board</w:t>
            </w:r>
          </w:p>
        </w:tc>
        <w:tc>
          <w:tcPr>
            <w:tcW w:w="1915" w:type="dxa"/>
          </w:tcPr>
          <w:p w:rsidR="00505303" w:rsidRPr="0094234B" w:rsidRDefault="00A555AB" w:rsidP="00505303">
            <w:pPr>
              <w:jc w:val="center"/>
              <w:rPr>
                <w:b/>
              </w:rPr>
            </w:pPr>
            <w:r>
              <w:rPr>
                <w:b/>
              </w:rPr>
              <w:t>$3,360</w:t>
            </w:r>
          </w:p>
        </w:tc>
        <w:tc>
          <w:tcPr>
            <w:tcW w:w="1915" w:type="dxa"/>
          </w:tcPr>
          <w:p w:rsidR="00505303" w:rsidRPr="0094234B" w:rsidRDefault="00A555AB" w:rsidP="0094234B">
            <w:pPr>
              <w:jc w:val="center"/>
              <w:rPr>
                <w:b/>
              </w:rPr>
            </w:pPr>
            <w:r>
              <w:rPr>
                <w:b/>
              </w:rPr>
              <w:t>$8,100</w:t>
            </w:r>
          </w:p>
        </w:tc>
        <w:tc>
          <w:tcPr>
            <w:tcW w:w="1915" w:type="dxa"/>
          </w:tcPr>
          <w:p w:rsidR="00505303" w:rsidRPr="0094234B" w:rsidRDefault="00A555AB" w:rsidP="00505303">
            <w:pPr>
              <w:jc w:val="center"/>
              <w:rPr>
                <w:b/>
              </w:rPr>
            </w:pPr>
            <w:r>
              <w:rPr>
                <w:b/>
              </w:rPr>
              <w:t>$10,170</w:t>
            </w:r>
          </w:p>
        </w:tc>
        <w:tc>
          <w:tcPr>
            <w:tcW w:w="1916" w:type="dxa"/>
          </w:tcPr>
          <w:p w:rsidR="00505303" w:rsidRPr="0094234B" w:rsidRDefault="00A555AB" w:rsidP="0094234B">
            <w:pPr>
              <w:jc w:val="center"/>
              <w:rPr>
                <w:b/>
              </w:rPr>
            </w:pPr>
            <w:r>
              <w:rPr>
                <w:b/>
              </w:rPr>
              <w:t>$10,770</w:t>
            </w:r>
          </w:p>
        </w:tc>
      </w:tr>
      <w:tr w:rsidR="00505303" w:rsidTr="00505303">
        <w:tc>
          <w:tcPr>
            <w:tcW w:w="1915" w:type="dxa"/>
            <w:shd w:val="clear" w:color="auto" w:fill="008000"/>
          </w:tcPr>
          <w:p w:rsidR="00505303" w:rsidRPr="00505303" w:rsidRDefault="00505303" w:rsidP="00505303">
            <w:pPr>
              <w:jc w:val="right"/>
              <w:rPr>
                <w:color w:val="FFFFFF" w:themeColor="background1"/>
              </w:rPr>
            </w:pPr>
            <w:r w:rsidRPr="00505303">
              <w:rPr>
                <w:color w:val="FFFFFF" w:themeColor="background1"/>
              </w:rPr>
              <w:t>Transportation</w:t>
            </w:r>
          </w:p>
        </w:tc>
        <w:tc>
          <w:tcPr>
            <w:tcW w:w="1915" w:type="dxa"/>
          </w:tcPr>
          <w:p w:rsidR="00505303" w:rsidRPr="0094234B" w:rsidRDefault="00A555AB" w:rsidP="00505303">
            <w:pPr>
              <w:jc w:val="center"/>
              <w:rPr>
                <w:b/>
              </w:rPr>
            </w:pPr>
            <w:r>
              <w:rPr>
                <w:b/>
              </w:rPr>
              <w:t>$1,200</w:t>
            </w:r>
          </w:p>
        </w:tc>
        <w:tc>
          <w:tcPr>
            <w:tcW w:w="1915" w:type="dxa"/>
          </w:tcPr>
          <w:p w:rsidR="00505303" w:rsidRPr="0094234B" w:rsidRDefault="00A555AB" w:rsidP="00505303">
            <w:pPr>
              <w:jc w:val="center"/>
              <w:rPr>
                <w:b/>
              </w:rPr>
            </w:pPr>
            <w:r>
              <w:rPr>
                <w:b/>
              </w:rPr>
              <w:t>$1,590</w:t>
            </w:r>
          </w:p>
        </w:tc>
        <w:tc>
          <w:tcPr>
            <w:tcW w:w="1915" w:type="dxa"/>
          </w:tcPr>
          <w:p w:rsidR="00505303" w:rsidRPr="0094234B" w:rsidRDefault="00A555AB" w:rsidP="00505303">
            <w:pPr>
              <w:jc w:val="center"/>
              <w:rPr>
                <w:b/>
              </w:rPr>
            </w:pPr>
            <w:r>
              <w:rPr>
                <w:b/>
              </w:rPr>
              <w:t>$1,200</w:t>
            </w:r>
          </w:p>
        </w:tc>
        <w:tc>
          <w:tcPr>
            <w:tcW w:w="1916" w:type="dxa"/>
          </w:tcPr>
          <w:p w:rsidR="00505303" w:rsidRPr="0094234B" w:rsidRDefault="00A555AB" w:rsidP="00505303">
            <w:pPr>
              <w:jc w:val="center"/>
              <w:rPr>
                <w:b/>
              </w:rPr>
            </w:pPr>
            <w:r>
              <w:rPr>
                <w:b/>
              </w:rPr>
              <w:t>$1,200</w:t>
            </w:r>
          </w:p>
        </w:tc>
      </w:tr>
      <w:tr w:rsidR="00505303" w:rsidTr="00505303">
        <w:tc>
          <w:tcPr>
            <w:tcW w:w="1915" w:type="dxa"/>
            <w:shd w:val="clear" w:color="auto" w:fill="008000"/>
          </w:tcPr>
          <w:p w:rsidR="00505303" w:rsidRPr="00505303" w:rsidRDefault="00505303" w:rsidP="00505303">
            <w:pPr>
              <w:jc w:val="right"/>
              <w:rPr>
                <w:color w:val="FFFFFF" w:themeColor="background1"/>
              </w:rPr>
            </w:pPr>
            <w:r w:rsidRPr="00505303">
              <w:rPr>
                <w:color w:val="FFFFFF" w:themeColor="background1"/>
              </w:rPr>
              <w:t>Misc./Personal</w:t>
            </w:r>
          </w:p>
        </w:tc>
        <w:tc>
          <w:tcPr>
            <w:tcW w:w="1915" w:type="dxa"/>
          </w:tcPr>
          <w:p w:rsidR="00505303" w:rsidRPr="0094234B" w:rsidRDefault="00A555AB" w:rsidP="00505303">
            <w:pPr>
              <w:jc w:val="center"/>
              <w:rPr>
                <w:b/>
              </w:rPr>
            </w:pPr>
            <w:r>
              <w:rPr>
                <w:b/>
              </w:rPr>
              <w:t>$1,920</w:t>
            </w:r>
          </w:p>
        </w:tc>
        <w:tc>
          <w:tcPr>
            <w:tcW w:w="1915" w:type="dxa"/>
          </w:tcPr>
          <w:p w:rsidR="00505303" w:rsidRPr="0094234B" w:rsidRDefault="00A555AB" w:rsidP="00505303">
            <w:pPr>
              <w:jc w:val="center"/>
              <w:rPr>
                <w:b/>
              </w:rPr>
            </w:pPr>
            <w:r>
              <w:rPr>
                <w:b/>
              </w:rPr>
              <w:t>$1,980</w:t>
            </w:r>
          </w:p>
        </w:tc>
        <w:tc>
          <w:tcPr>
            <w:tcW w:w="1915" w:type="dxa"/>
          </w:tcPr>
          <w:p w:rsidR="00505303" w:rsidRPr="0094234B" w:rsidRDefault="00A555AB" w:rsidP="00505303">
            <w:pPr>
              <w:jc w:val="center"/>
              <w:rPr>
                <w:b/>
              </w:rPr>
            </w:pPr>
            <w:r>
              <w:rPr>
                <w:b/>
              </w:rPr>
              <w:t>$2,160</w:t>
            </w:r>
          </w:p>
        </w:tc>
        <w:tc>
          <w:tcPr>
            <w:tcW w:w="1916" w:type="dxa"/>
          </w:tcPr>
          <w:p w:rsidR="00505303" w:rsidRPr="0094234B" w:rsidRDefault="00A555AB" w:rsidP="00505303">
            <w:pPr>
              <w:jc w:val="center"/>
              <w:rPr>
                <w:b/>
              </w:rPr>
            </w:pPr>
            <w:r>
              <w:rPr>
                <w:b/>
              </w:rPr>
              <w:t>$2,400</w:t>
            </w:r>
          </w:p>
        </w:tc>
      </w:tr>
      <w:tr w:rsidR="00505303" w:rsidTr="00505303">
        <w:tc>
          <w:tcPr>
            <w:tcW w:w="1915" w:type="dxa"/>
            <w:shd w:val="clear" w:color="auto" w:fill="008000"/>
          </w:tcPr>
          <w:p w:rsidR="00505303" w:rsidRPr="00505303" w:rsidRDefault="00505303" w:rsidP="00505303">
            <w:pPr>
              <w:jc w:val="right"/>
              <w:rPr>
                <w:color w:val="FFFFFF" w:themeColor="background1"/>
              </w:rPr>
            </w:pPr>
            <w:r w:rsidRPr="00505303">
              <w:rPr>
                <w:color w:val="FFFFFF" w:themeColor="background1"/>
              </w:rPr>
              <w:t>Total</w:t>
            </w:r>
          </w:p>
        </w:tc>
        <w:tc>
          <w:tcPr>
            <w:tcW w:w="1915" w:type="dxa"/>
          </w:tcPr>
          <w:p w:rsidR="00505303" w:rsidRPr="0094234B" w:rsidRDefault="00316CE3" w:rsidP="00A555AB">
            <w:pPr>
              <w:jc w:val="center"/>
              <w:rPr>
                <w:b/>
              </w:rPr>
            </w:pPr>
            <w:r>
              <w:rPr>
                <w:b/>
              </w:rPr>
              <w:t>$7,</w:t>
            </w:r>
            <w:r w:rsidR="00A555AB">
              <w:rPr>
                <w:b/>
              </w:rPr>
              <w:t>38</w:t>
            </w:r>
            <w:r>
              <w:rPr>
                <w:b/>
              </w:rPr>
              <w:t>0</w:t>
            </w:r>
          </w:p>
        </w:tc>
        <w:tc>
          <w:tcPr>
            <w:tcW w:w="1915" w:type="dxa"/>
          </w:tcPr>
          <w:p w:rsidR="00505303" w:rsidRPr="0094234B" w:rsidRDefault="00A555AB" w:rsidP="00505303">
            <w:pPr>
              <w:jc w:val="center"/>
              <w:rPr>
                <w:b/>
              </w:rPr>
            </w:pPr>
            <w:r>
              <w:rPr>
                <w:b/>
              </w:rPr>
              <w:t>$12,570</w:t>
            </w:r>
          </w:p>
        </w:tc>
        <w:tc>
          <w:tcPr>
            <w:tcW w:w="1915" w:type="dxa"/>
          </w:tcPr>
          <w:p w:rsidR="00505303" w:rsidRPr="0094234B" w:rsidRDefault="00A555AB" w:rsidP="00505303">
            <w:pPr>
              <w:jc w:val="center"/>
              <w:rPr>
                <w:b/>
              </w:rPr>
            </w:pPr>
            <w:r>
              <w:rPr>
                <w:b/>
              </w:rPr>
              <w:t>$14,430</w:t>
            </w:r>
          </w:p>
        </w:tc>
        <w:tc>
          <w:tcPr>
            <w:tcW w:w="1916" w:type="dxa"/>
          </w:tcPr>
          <w:p w:rsidR="0094234B" w:rsidRPr="0094234B" w:rsidRDefault="00A555AB" w:rsidP="0094234B">
            <w:pPr>
              <w:jc w:val="center"/>
              <w:rPr>
                <w:b/>
              </w:rPr>
            </w:pPr>
            <w:r>
              <w:rPr>
                <w:b/>
              </w:rPr>
              <w:t>$15,270</w:t>
            </w:r>
          </w:p>
        </w:tc>
      </w:tr>
    </w:tbl>
    <w:p w:rsidR="00505303" w:rsidRDefault="00505303" w:rsidP="00505303">
      <w:pPr>
        <w:jc w:val="center"/>
      </w:pPr>
    </w:p>
    <w:p w:rsidR="00505303" w:rsidRPr="00505303" w:rsidRDefault="00505303" w:rsidP="00505303">
      <w:pPr>
        <w:spacing w:after="0"/>
        <w:rPr>
          <w:b/>
        </w:rPr>
      </w:pPr>
      <w:r w:rsidRPr="00505303">
        <w:rPr>
          <w:b/>
        </w:rPr>
        <w:t>Purpose of WFAA Student Budgets</w:t>
      </w:r>
    </w:p>
    <w:p w:rsidR="00505303" w:rsidRDefault="00505303" w:rsidP="00505303">
      <w:pPr>
        <w:spacing w:after="0"/>
      </w:pPr>
      <w:r>
        <w:t>WFAA student budgets are intended to serve as benchmarks for assessing student costs within the state and are not intended to replace or supplant student expense studies or budget development at the institutional level.</w:t>
      </w:r>
    </w:p>
    <w:p w:rsidR="008824DD" w:rsidRDefault="008824DD" w:rsidP="00505303">
      <w:pPr>
        <w:spacing w:after="0"/>
      </w:pPr>
    </w:p>
    <w:p w:rsidR="00505303" w:rsidRPr="00E61BE4" w:rsidRDefault="00505303" w:rsidP="00505303">
      <w:pPr>
        <w:spacing w:after="0"/>
        <w:rPr>
          <w:b/>
        </w:rPr>
      </w:pPr>
      <w:r w:rsidRPr="00E61BE4">
        <w:rPr>
          <w:b/>
        </w:rPr>
        <w:t>Annual Budgets</w:t>
      </w:r>
    </w:p>
    <w:p w:rsidR="008824DD" w:rsidRDefault="00505303" w:rsidP="008824DD">
      <w:pPr>
        <w:spacing w:after="0"/>
      </w:pPr>
      <w:r>
        <w:t>The student budgets listed above are based on a nine month academic year.  Aid administrators should include tuition and fees for their respective institutions and evaluate the remaining line items to adjust for costs and conditions as determined at the institutional level.</w:t>
      </w:r>
      <w:r w:rsidR="008824DD">
        <w:t xml:space="preserve">  To read more about the federal rules and regulations regarding the development of cost of attendance components, refer to Volume 3, Chapter 2 of the Federal Student Aid Handbook at </w:t>
      </w:r>
      <w:hyperlink r:id="rId8" w:history="1">
        <w:r w:rsidR="008824DD" w:rsidRPr="009C3BE7">
          <w:rPr>
            <w:rStyle w:val="Hyperlink"/>
          </w:rPr>
          <w:t>http://ifap.ed.gov</w:t>
        </w:r>
      </w:hyperlink>
      <w:r w:rsidR="008824DD">
        <w:t xml:space="preserve"> </w:t>
      </w:r>
    </w:p>
    <w:p w:rsidR="00505303" w:rsidRDefault="00505303" w:rsidP="00505303">
      <w:pPr>
        <w:spacing w:after="0"/>
      </w:pPr>
    </w:p>
    <w:p w:rsidR="00505303" w:rsidRPr="00E61BE4" w:rsidRDefault="00505303" w:rsidP="00505303">
      <w:pPr>
        <w:spacing w:after="0"/>
        <w:rPr>
          <w:b/>
        </w:rPr>
      </w:pPr>
      <w:r w:rsidRPr="00E61BE4">
        <w:rPr>
          <w:b/>
        </w:rPr>
        <w:t>Analysis of Data and Methodology</w:t>
      </w:r>
    </w:p>
    <w:p w:rsidR="00505303" w:rsidRDefault="00505303" w:rsidP="00505303">
      <w:pPr>
        <w:spacing w:after="0"/>
      </w:pPr>
      <w:r>
        <w:t>The student budgets were developed by applying the percentage change for the August 201</w:t>
      </w:r>
      <w:r w:rsidR="004622A6">
        <w:t>7 to August 2018</w:t>
      </w:r>
      <w:r>
        <w:t xml:space="preserve"> Consumer Price Index (CPI).  U.S. Department of Labor, Bureau of Labor Statistics released the CPI showing all index items rose </w:t>
      </w:r>
      <w:r w:rsidR="006D46FA">
        <w:t>3.1</w:t>
      </w:r>
      <w:r w:rsidR="003828BC">
        <w:t>% during this 12-month period for most urban areas in the state of WA.  Components contributing to the increase included shelter (5.9%) and recreation (2.7%</w:t>
      </w:r>
      <w:r w:rsidR="00322E74">
        <w:t>)</w:t>
      </w:r>
      <w:r w:rsidR="008824DD">
        <w:t>.</w:t>
      </w:r>
      <w:r w:rsidR="003828BC">
        <w:t xml:space="preserve">  </w:t>
      </w:r>
      <w:r>
        <w:t xml:space="preserve">After this </w:t>
      </w:r>
      <w:r w:rsidR="00322E74">
        <w:t xml:space="preserve">3.1% </w:t>
      </w:r>
      <w:r>
        <w:t>percentage was applied</w:t>
      </w:r>
      <w:r w:rsidR="00E61BE4">
        <w:t>, amounts were rounded to the nearest dollar, and are divisible by two and three in order to accommodate quarter and semester schools.  The resulting student budgets increased an average of</w:t>
      </w:r>
      <w:r w:rsidR="004A5827">
        <w:t xml:space="preserve"> 3</w:t>
      </w:r>
      <w:r w:rsidR="00E61BE4" w:rsidRPr="00577CF5">
        <w:t>%</w:t>
      </w:r>
      <w:r w:rsidR="00E61BE4">
        <w:t>.</w:t>
      </w:r>
    </w:p>
    <w:p w:rsidR="00322E74" w:rsidRDefault="00322E74" w:rsidP="00505303">
      <w:pPr>
        <w:spacing w:after="0"/>
        <w:rPr>
          <w:b/>
        </w:rPr>
      </w:pPr>
    </w:p>
    <w:p w:rsidR="00E61BE4" w:rsidRPr="00E61BE4" w:rsidRDefault="00E61BE4" w:rsidP="00505303">
      <w:pPr>
        <w:spacing w:after="0"/>
        <w:rPr>
          <w:b/>
        </w:rPr>
      </w:pPr>
      <w:r w:rsidRPr="00E61BE4">
        <w:rPr>
          <w:b/>
        </w:rPr>
        <w:t>*High-cost Regions</w:t>
      </w:r>
    </w:p>
    <w:p w:rsidR="00E61BE4" w:rsidRDefault="00E61BE4" w:rsidP="00505303">
      <w:pPr>
        <w:spacing w:after="0"/>
      </w:pPr>
      <w:r>
        <w:t>To account for student expenditures in high-cost regions, the committee developed an additional budget.  According to 2015 survey data, the high-cost counties are identified as:  Clark, Cowlitz, Grays Harbor, King, Kitsap, Lewis, and Snohomish.</w:t>
      </w:r>
    </w:p>
    <w:sectPr w:rsidR="00E61B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E74" w:rsidRDefault="00322E74" w:rsidP="00322E74">
      <w:pPr>
        <w:spacing w:after="0" w:line="240" w:lineRule="auto"/>
      </w:pPr>
      <w:r>
        <w:separator/>
      </w:r>
    </w:p>
  </w:endnote>
  <w:endnote w:type="continuationSeparator" w:id="0">
    <w:p w:rsidR="00322E74" w:rsidRDefault="00322E74" w:rsidP="0032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74" w:rsidRPr="00E61BE4" w:rsidRDefault="00322E74" w:rsidP="00322E74">
    <w:pPr>
      <w:spacing w:after="0"/>
      <w:rPr>
        <w:sz w:val="18"/>
        <w:szCs w:val="18"/>
      </w:rPr>
    </w:pPr>
    <w:r w:rsidRPr="00E61BE4">
      <w:rPr>
        <w:sz w:val="18"/>
        <w:szCs w:val="18"/>
      </w:rPr>
      <w:t>Source:  United States Department of Labor.  (201</w:t>
    </w:r>
    <w:r>
      <w:rPr>
        <w:sz w:val="18"/>
        <w:szCs w:val="18"/>
      </w:rPr>
      <w:t>8</w:t>
    </w:r>
    <w:r w:rsidRPr="00E61BE4">
      <w:rPr>
        <w:sz w:val="18"/>
        <w:szCs w:val="18"/>
      </w:rPr>
      <w:t xml:space="preserve">, August).  Consumer Price Index.  </w:t>
    </w:r>
    <w:r w:rsidRPr="00E61BE4">
      <w:rPr>
        <w:i/>
        <w:sz w:val="18"/>
        <w:szCs w:val="18"/>
      </w:rPr>
      <w:t>Bureau of Labor Statistics</w:t>
    </w:r>
    <w:r w:rsidRPr="00E61BE4">
      <w:rPr>
        <w:sz w:val="18"/>
        <w:szCs w:val="18"/>
      </w:rPr>
      <w:t>.  Retrieved from:</w:t>
    </w:r>
    <w:r w:rsidRPr="00322E74">
      <w:rPr>
        <w:sz w:val="18"/>
        <w:szCs w:val="18"/>
      </w:rPr>
      <w:t xml:space="preserve">  </w:t>
    </w:r>
    <w:hyperlink r:id="rId1" w:history="1">
      <w:r w:rsidRPr="00322E74">
        <w:rPr>
          <w:rStyle w:val="Hyperlink"/>
          <w:sz w:val="18"/>
          <w:szCs w:val="18"/>
        </w:rPr>
        <w:t>https://www.bls.gov/regions/west/news-release/pdf/consumerpriceindex_seattle.pdf</w:t>
      </w:r>
    </w:hyperlink>
    <w:r>
      <w:t xml:space="preserve"> </w:t>
    </w:r>
  </w:p>
  <w:p w:rsidR="00322E74" w:rsidRDefault="00322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E74" w:rsidRDefault="00322E74" w:rsidP="00322E74">
      <w:pPr>
        <w:spacing w:after="0" w:line="240" w:lineRule="auto"/>
      </w:pPr>
      <w:r>
        <w:separator/>
      </w:r>
    </w:p>
  </w:footnote>
  <w:footnote w:type="continuationSeparator" w:id="0">
    <w:p w:rsidR="00322E74" w:rsidRDefault="00322E74" w:rsidP="00322E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03"/>
    <w:rsid w:val="000460B0"/>
    <w:rsid w:val="00316CE3"/>
    <w:rsid w:val="00322E74"/>
    <w:rsid w:val="003828BC"/>
    <w:rsid w:val="004622A6"/>
    <w:rsid w:val="004A5827"/>
    <w:rsid w:val="00505303"/>
    <w:rsid w:val="00577CF5"/>
    <w:rsid w:val="006D46FA"/>
    <w:rsid w:val="008824DD"/>
    <w:rsid w:val="0094234B"/>
    <w:rsid w:val="00A555AB"/>
    <w:rsid w:val="00D90645"/>
    <w:rsid w:val="00DF0BAF"/>
    <w:rsid w:val="00E61BE4"/>
    <w:rsid w:val="00F30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21010-FA48-475F-A81B-4E60B829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303"/>
    <w:rPr>
      <w:rFonts w:ascii="Tahoma" w:hAnsi="Tahoma" w:cs="Tahoma"/>
      <w:sz w:val="16"/>
      <w:szCs w:val="16"/>
    </w:rPr>
  </w:style>
  <w:style w:type="table" w:styleId="TableGrid">
    <w:name w:val="Table Grid"/>
    <w:basedOn w:val="TableNormal"/>
    <w:uiPriority w:val="59"/>
    <w:rsid w:val="00505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BE4"/>
    <w:rPr>
      <w:color w:val="0000FF" w:themeColor="hyperlink"/>
      <w:u w:val="single"/>
    </w:rPr>
  </w:style>
  <w:style w:type="paragraph" w:styleId="Header">
    <w:name w:val="header"/>
    <w:basedOn w:val="Normal"/>
    <w:link w:val="HeaderChar"/>
    <w:uiPriority w:val="99"/>
    <w:unhideWhenUsed/>
    <w:rsid w:val="00322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E74"/>
  </w:style>
  <w:style w:type="paragraph" w:styleId="Footer">
    <w:name w:val="footer"/>
    <w:basedOn w:val="Normal"/>
    <w:link w:val="FooterChar"/>
    <w:uiPriority w:val="99"/>
    <w:unhideWhenUsed/>
    <w:rsid w:val="00322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fap.ed.gov"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bls.gov/regions/west/news-release/pdf/consumerpriceindex_seatt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AC276D21.dotm</Template>
  <TotalTime>0</TotalTime>
  <Pages>1</Pages>
  <Words>324</Words>
  <Characters>1849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Evergreen State College</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Tracy</dc:creator>
  <cp:lastModifiedBy>Hengst, Linnea E</cp:lastModifiedBy>
  <cp:revision>2</cp:revision>
  <dcterms:created xsi:type="dcterms:W3CDTF">2018-10-17T14:56:00Z</dcterms:created>
  <dcterms:modified xsi:type="dcterms:W3CDTF">2018-10-17T14:56:00Z</dcterms:modified>
</cp:coreProperties>
</file>